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color w:val="351C75"/>
          <w:sz w:val="36"/>
          <w:szCs w:val="36"/>
        </w:rPr>
      </w:pPr>
      <w:r>
        <w:rPr>
          <w:rFonts w:eastAsia="Calibri" w:cs="Calibri" w:ascii="Calibri" w:hAnsi="Calibri"/>
          <w:b/>
          <w:color w:val="351C75"/>
          <w:sz w:val="36"/>
          <w:szCs w:val="36"/>
        </w:rPr>
        <w:t>Practical Guide</w:t>
      </w:r>
    </w:p>
    <w:p>
      <w:pPr>
        <w:pStyle w:val="Normal"/>
        <w:jc w:val="center"/>
        <w:rPr>
          <w:rFonts w:ascii="Calibri" w:hAnsi="Calibri" w:eastAsia="Calibri" w:cs="Calibri"/>
          <w:color w:val="351C75"/>
          <w:sz w:val="28"/>
          <w:szCs w:val="28"/>
        </w:rPr>
      </w:pPr>
      <w:r>
        <w:rPr>
          <w:rFonts w:eastAsia="Calibri" w:cs="Calibri" w:ascii="Calibri" w:hAnsi="Calibri"/>
          <w:color w:val="351C75"/>
          <w:sz w:val="28"/>
          <w:szCs w:val="28"/>
        </w:rPr>
        <w:t>The advance of the sea</w:t>
      </w:r>
    </w:p>
    <w:p>
      <w:pPr>
        <w:pStyle w:val="Normal"/>
        <w:jc w:val="center"/>
        <w:rPr>
          <w:rFonts w:ascii="Calibri" w:hAnsi="Calibri" w:eastAsia="Calibri" w:cs="Calibri"/>
          <w:color w:val="351C75"/>
          <w:sz w:val="24"/>
          <w:szCs w:val="24"/>
        </w:rPr>
      </w:pPr>
      <w:r>
        <w:rPr>
          <w:rFonts w:eastAsia="Calibri" w:cs="Calibri" w:ascii="Calibri" w:hAnsi="Calibri"/>
          <w:color w:val="351C75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color w:val="433B72"/>
          <w:sz w:val="28"/>
          <w:szCs w:val="28"/>
        </w:rPr>
      </w:pPr>
      <w:r>
        <w:rPr>
          <w:rFonts w:eastAsia="Calibri" w:cs="Calibri" w:ascii="Calibri" w:hAnsi="Calibri"/>
          <w:b/>
          <w:color w:val="433B72"/>
          <w:sz w:val="28"/>
          <w:szCs w:val="28"/>
        </w:rPr>
        <w:t>Activity 1.</w:t>
      </w:r>
    </w:p>
    <w:p>
      <w:pPr>
        <w:pStyle w:val="Normal"/>
        <w:jc w:val="both"/>
        <w:rPr>
          <w:rFonts w:ascii="Calibri" w:hAnsi="Calibri" w:eastAsia="Calibri" w:cs="Calibri"/>
          <w:b/>
          <w:color w:val="433B72"/>
          <w:sz w:val="28"/>
          <w:szCs w:val="28"/>
        </w:rPr>
      </w:pPr>
      <w:r>
        <w:rPr>
          <w:rFonts w:eastAsia="Calibri" w:cs="Calibri" w:ascii="Calibri" w:hAnsi="Calibri"/>
          <w:b/>
          <w:color w:val="433B72"/>
          <w:sz w:val="28"/>
          <w:szCs w:val="28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Below is a graph of a prediction of the advance of the sea in a coastal area of the Valparaíso region.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color w:val="0000FF"/>
          <w:sz w:val="28"/>
          <w:szCs w:val="28"/>
        </w:rPr>
      </w:pPr>
      <w:r>
        <w:rPr/>
        <w:drawing>
          <wp:inline distT="0" distB="0" distL="0" distR="0">
            <wp:extent cx="5272405" cy="2451735"/>
            <wp:effectExtent l="0" t="0" r="0" b="0"/>
            <wp:docPr id="1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Answer </w:t>
      </w:r>
      <w:bookmarkStart w:id="0" w:name="_GoBack"/>
      <w:bookmarkEnd w:id="0"/>
      <w:r>
        <w:rPr>
          <w:rFonts w:eastAsia="Calibri" w:cs="Calibri" w:ascii="Calibri" w:hAnsi="Calibri"/>
          <w:sz w:val="24"/>
          <w:szCs w:val="24"/>
        </w:rPr>
        <w:t>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What type of proportionality does it correspond to? Justify.</w:t>
      </w:r>
    </w:p>
    <w:p>
      <w:pPr>
        <w:pStyle w:val="Normal"/>
        <w:ind w:left="72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ind w:left="72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How much would the sea advance in this area after 9 years?</w:t>
      </w:r>
    </w:p>
    <w:p>
      <w:pPr>
        <w:pStyle w:val="Normal"/>
        <w:ind w:left="72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72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What is the algebraic expression or formula that models this situation?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>
        <w:rPr>
          <w:color w:val="222222"/>
          <w:highlight w:val="white"/>
        </w:rPr>
        <w:t xml:space="preserve">Complete the following table </w:t>
      </w:r>
      <w:r>
        <w:rPr>
          <w:rFonts w:eastAsia="Calibri" w:cs="Calibri" w:ascii="Calibri" w:hAnsi="Calibri"/>
          <w:sz w:val="24"/>
          <w:szCs w:val="24"/>
        </w:rPr>
        <w:t xml:space="preserve">using the formula found </w:t>
      </w:r>
      <w:r>
        <w:rPr>
          <w:color w:val="222222"/>
          <w:highlight w:val="white"/>
        </w:rPr>
        <w:t>:</w:t>
      </w:r>
    </w:p>
    <w:p>
      <w:pPr>
        <w:pStyle w:val="Normal"/>
        <w:ind w:left="720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720" w:hanging="0"/>
        <w:jc w:val="center"/>
        <w:rPr>
          <w:color w:val="222222"/>
          <w:highlight w:val="white"/>
        </w:rPr>
      </w:pPr>
      <w:r>
        <w:rPr/>
        <w:drawing>
          <wp:inline distT="0" distB="0" distL="0" distR="0">
            <wp:extent cx="3576320" cy="1515745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720" w:hanging="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 the year 2023, a house is located 30 meters from the sea on the coast of Valparaíso. In how many more years will the sea have reached the house? What year will it be?</w:t>
      </w:r>
      <w:r>
        <w:br w:type="page"/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color w:val="433B72"/>
          <w:sz w:val="36"/>
          <w:szCs w:val="36"/>
        </w:rPr>
        <w:t>Solver</w:t>
      </w:r>
    </w:p>
    <w:p>
      <w:pPr>
        <w:pStyle w:val="Normal"/>
        <w:widowControl w:val="false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color w:val="0000FF"/>
        </w:rPr>
        <w:t xml:space="preserve"> </w:t>
      </w:r>
    </w:p>
    <w:tbl>
      <w:tblPr>
        <w:tblStyle w:val="a1"/>
        <w:tblW w:w="89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1005"/>
        <w:gridCol w:w="629"/>
        <w:gridCol w:w="7276"/>
      </w:tblGrid>
      <w:tr>
        <w:trPr>
          <w:trHeight w:val="440" w:hRule="atLeast"/>
        </w:trPr>
        <w:tc>
          <w:tcPr>
            <w:tcW w:w="1005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Act . 1</w:t>
            </w:r>
          </w:p>
        </w:tc>
        <w:tc>
          <w:tcPr>
            <w:tcW w:w="629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7276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spacing w:before="240" w:after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It is a direct proportionality, since it is a line that passes through the point (0,0).</w:t>
            </w:r>
          </w:p>
        </w:tc>
      </w:tr>
      <w:tr>
        <w:trPr>
          <w:trHeight w:val="440" w:hRule="atLeast"/>
        </w:trPr>
        <w:tc>
          <w:tcPr>
            <w:tcW w:w="1005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7276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spacing w:lineRule="auto" w:line="276" w:before="240" w:after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Since each year the sea advances 0.4 meters, then, after 9 years the sea would advance 3.6 meters.</w:t>
            </w:r>
          </w:p>
        </w:tc>
      </w:tr>
      <w:tr>
        <w:trPr>
          <w:trHeight w:val="440" w:hRule="atLeast"/>
        </w:trPr>
        <w:tc>
          <w:tcPr>
            <w:tcW w:w="1005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7276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center"/>
              <w:rPr>
                <w:rFonts w:ascii="Cambria Math" w:hAnsi="Cambria Math" w:eastAsia="Calibri" w:cs="Calibri"/>
                <w:i/>
                <w:i/>
                <w:sz w:val="24"/>
                <w:szCs w:val="24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,4</m:t>
                </m:r>
                <m:r>
                  <w:rPr>
                    <w:rFonts w:ascii="Cambria Math" w:hAnsi="Cambria Math"/>
                  </w:rPr>
                  <m:t xml:space="preserve">⋅</m:t>
                </m:r>
                <m:r>
                  <w:rPr>
                    <w:rFonts w:ascii="Cambria Math" w:hAnsi="Cambria Math"/>
                  </w:rPr>
                  <m:t xml:space="preserve">x</m:t>
                </m:r>
              </m:oMath>
            </m:oMathPara>
          </w:p>
        </w:tc>
      </w:tr>
      <w:tr>
        <w:trPr>
          <w:trHeight w:val="440" w:hRule="atLeast"/>
        </w:trPr>
        <w:tc>
          <w:tcPr>
            <w:tcW w:w="1005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4.</w:t>
            </w:r>
          </w:p>
        </w:tc>
        <w:tc>
          <w:tcPr>
            <w:tcW w:w="7276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102870</wp:posOffset>
                  </wp:positionV>
                  <wp:extent cx="3490595" cy="1478280"/>
                  <wp:effectExtent l="0" t="0" r="0" b="0"/>
                  <wp:wrapNone/>
                  <wp:docPr id="3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059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05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5.</w:t>
            </w:r>
          </w:p>
        </w:tc>
        <w:tc>
          <w:tcPr>
            <w:tcW w:w="7276" w:type="dxa"/>
            <w:tcBorders>
              <w:top w:val="single" w:sz="8" w:space="0" w:color="60B698"/>
              <w:left w:val="single" w:sz="8" w:space="0" w:color="FFFFFF"/>
              <w:bottom w:val="single" w:sz="8" w:space="0" w:color="60B698"/>
              <w:right w:val="single" w:sz="8" w:space="0" w:color="FFFFFF"/>
            </w:tcBorders>
          </w:tcPr>
          <w:p>
            <w:pPr>
              <w:pStyle w:val="Normal"/>
              <w:widowControl w:val="false"/>
              <w:rPr>
                <w:rFonts w:ascii="Cambria Math" w:hAnsi="Cambria Math" w:eastAsia="Calibri" w:cs="Calibri"/>
                <w:i/>
                <w:i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                 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30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0</m:t>
              </m:r>
              <m:r>
                <w:rPr>
                  <w:rFonts w:ascii="Cambria Math" w:hAnsi="Cambria Math"/>
                </w:rPr>
                <m:t xml:space="preserve">,4</m:t>
              </m:r>
              <m:r>
                <w:rPr>
                  <w:rFonts w:ascii="Cambria Math" w:hAnsi="Cambria Math"/>
                </w:rPr>
                <m:t xml:space="preserve">⋅</m:t>
              </m:r>
              <m:r>
                <w:rPr>
                  <w:rFonts w:ascii="Cambria Math" w:hAnsi="Cambria Math"/>
                </w:rPr>
                <m:t xml:space="preserve">x</m:t>
              </m:r>
            </m:oMath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                     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30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0</m:t>
                  </m:r>
                  <m:r>
                    <w:rPr>
                      <w:rFonts w:ascii="Cambria Math" w:hAnsi="Cambria Math"/>
                    </w:rPr>
                    <m:t xml:space="preserve">,4</m:t>
                  </m:r>
                </m:den>
              </m:f>
            </m:oMath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                          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75</m:t>
              </m:r>
            </m:oMath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 75 more years, that is, the year 2098, the sea will have reached the house.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40" w:right="1440" w:gutter="0" w:header="0" w:top="1440" w:footer="15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440" w:right="-1434" w:hanging="0"/>
      <w:rPr/>
    </w:pPr>
    <w:r>
      <w:rPr/>
      <w:drawing>
        <wp:inline distT="0" distB="0" distL="0" distR="0">
          <wp:extent cx="8129270" cy="190500"/>
          <wp:effectExtent l="0" t="0" r="0" b="0"/>
          <wp:docPr id="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2927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440" w:hanging="30"/>
      <w:rPr/>
    </w:pPr>
    <w:r>
      <w:rPr/>
      <w:drawing>
        <wp:inline distT="0" distB="0" distL="0" distR="0">
          <wp:extent cx="7586345" cy="190500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ind w:left="-1417" w:right="-1310" w:hanging="22"/>
      <w:jc w:val="right"/>
      <w:rPr/>
    </w:pPr>
    <w:r>
      <w:rPr/>
      <w:drawing>
        <wp:inline distT="0" distB="0" distL="0" distR="0">
          <wp:extent cx="843915" cy="654685"/>
          <wp:effectExtent l="0" t="0" r="0" b="0"/>
          <wp:docPr id="5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s-C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s-CL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pKCuJYzj+WqB4AehyTaC55HrPg==">CgMxLjA4AHIhMXM0YW9PVk01cTF1cDZ2eTNrR3doanJUZGg1QnBnd2FF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LibreOffice/7.5.5.2$Windows_X86_64 LibreOffice_project/ca8fe7424262805f223b9a2334bc7181abbcbf5e</Application>
  <AppVersion>15.0000</AppVersion>
  <Pages>3</Pages>
  <Words>172</Words>
  <Characters>719</Characters>
  <CharactersWithSpaces>968</CharactersWithSpaces>
  <Paragraphs>32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2023-08-16T19:52:00Z</dcterms:created>
  <dc:creator/>
  <dc:description/>
  <dc:language>es-CL</dc:language>
  <cp:lastModifiedBy/>
  <dcterms:modified xsi:type="dcterms:W3CDTF">2023-10-06T12:02:03Z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