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59" w:lineRule="auto"/>
        <w:jc w:val="center"/>
        <w:rPr>
          <w:rFonts w:ascii="Calibri" w:cs="Calibri" w:eastAsia="Calibri" w:hAnsi="Calibri"/>
          <w:b w:val="1"/>
          <w:color w:val="433b72"/>
          <w:sz w:val="36"/>
          <w:szCs w:val="36"/>
        </w:rPr>
      </w:pPr>
      <w:r w:rsidDel="00000000" w:rsidR="00000000" w:rsidRPr="00000000">
        <w:rPr>
          <w:rFonts w:ascii="Calibri" w:cs="Calibri" w:eastAsia="Calibri" w:hAnsi="Calibri"/>
          <w:b w:val="1"/>
          <w:color w:val="433b72"/>
          <w:sz w:val="36"/>
          <w:szCs w:val="36"/>
          <w:rtl w:val="0"/>
        </w:rPr>
        <w:t xml:space="preserve">Guía Práctica</w:t>
      </w:r>
    </w:p>
    <w:p w:rsidR="00000000" w:rsidDel="00000000" w:rsidP="00000000" w:rsidRDefault="00000000" w:rsidRPr="00000000" w14:paraId="00000002">
      <w:pPr>
        <w:spacing w:after="160" w:line="259" w:lineRule="auto"/>
        <w:jc w:val="center"/>
        <w:rPr>
          <w:rFonts w:ascii="Calibri" w:cs="Calibri" w:eastAsia="Calibri" w:hAnsi="Calibri"/>
          <w:color w:val="433b72"/>
          <w:sz w:val="28"/>
          <w:szCs w:val="28"/>
        </w:rPr>
      </w:pPr>
      <w:r w:rsidDel="00000000" w:rsidR="00000000" w:rsidRPr="00000000">
        <w:rPr>
          <w:rFonts w:ascii="Calibri" w:cs="Calibri" w:eastAsia="Calibri" w:hAnsi="Calibri"/>
          <w:color w:val="433b72"/>
          <w:sz w:val="28"/>
          <w:szCs w:val="28"/>
          <w:rtl w:val="0"/>
        </w:rPr>
        <w:t xml:space="preserve">El juego del Sombrerero </w:t>
      </w:r>
    </w:p>
    <w:p w:rsidR="00000000" w:rsidDel="00000000" w:rsidP="00000000" w:rsidRDefault="00000000" w:rsidRPr="00000000" w14:paraId="00000003">
      <w:pPr>
        <w:spacing w:after="160" w:line="259" w:lineRule="auto"/>
        <w:jc w:val="left"/>
        <w:rPr>
          <w:rFonts w:ascii="Calibri" w:cs="Calibri" w:eastAsia="Calibri" w:hAnsi="Calibri"/>
          <w:b w:val="1"/>
          <w:color w:val="351c75"/>
          <w:sz w:val="30"/>
          <w:szCs w:val="30"/>
        </w:rPr>
      </w:pPr>
      <w:r w:rsidDel="00000000" w:rsidR="00000000" w:rsidRPr="00000000">
        <w:rPr>
          <w:rFonts w:ascii="Calibri" w:cs="Calibri" w:eastAsia="Calibri" w:hAnsi="Calibri"/>
          <w:color w:val="433b72"/>
          <w:sz w:val="28"/>
          <w:szCs w:val="28"/>
          <w:rtl w:val="0"/>
        </w:rPr>
        <w:br w:type="textWrapping"/>
      </w:r>
      <w:r w:rsidDel="00000000" w:rsidR="00000000" w:rsidRPr="00000000">
        <w:rPr>
          <w:rFonts w:ascii="Calibri" w:cs="Calibri" w:eastAsia="Calibri" w:hAnsi="Calibri"/>
          <w:b w:val="1"/>
          <w:color w:val="351c75"/>
          <w:sz w:val="30"/>
          <w:szCs w:val="30"/>
          <w:rtl w:val="0"/>
        </w:rPr>
        <w:t xml:space="preserve">Actividad 1</w:t>
      </w:r>
    </w:p>
    <w:p w:rsidR="00000000" w:rsidDel="00000000" w:rsidP="00000000" w:rsidRDefault="00000000" w:rsidRPr="00000000" w14:paraId="00000004">
      <w:pPr>
        <w:spacing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el juego del Sombrerero, esta vez hay 2 cartas rojas y 2 azules en el sombrero. Al igual que antes, se extraen dos cartas al azar desde el sombrero. Si las cartas extraídas son de distinto color, el Sombrerero gana, mientras que si las dos cartas son del mismo color, gana Alicia.</w:t>
      </w:r>
      <w:r w:rsidDel="00000000" w:rsidR="00000000" w:rsidRPr="00000000">
        <w:rPr>
          <w:rtl w:val="0"/>
        </w:rPr>
      </w:r>
    </w:p>
    <w:p w:rsidR="00000000" w:rsidDel="00000000" w:rsidP="00000000" w:rsidRDefault="00000000" w:rsidRPr="00000000" w14:paraId="00000005">
      <w:pPr>
        <w:spacing w:line="259"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spacing w:line="259" w:lineRule="auto"/>
        <w:jc w:val="center"/>
        <w:rPr>
          <w:rFonts w:ascii="Calibri" w:cs="Calibri" w:eastAsia="Calibri" w:hAnsi="Calibri"/>
          <w:color w:val="433b72"/>
          <w:sz w:val="28"/>
          <w:szCs w:val="28"/>
        </w:rPr>
      </w:pPr>
      <w:r w:rsidDel="00000000" w:rsidR="00000000" w:rsidRPr="00000000">
        <w:rPr>
          <w:rFonts w:ascii="Calibri" w:cs="Calibri" w:eastAsia="Calibri" w:hAnsi="Calibri"/>
          <w:sz w:val="24"/>
          <w:szCs w:val="24"/>
        </w:rPr>
        <w:drawing>
          <wp:inline distB="114300" distT="114300" distL="114300" distR="114300">
            <wp:extent cx="3687600" cy="3017861"/>
            <wp:effectExtent b="0" l="0" r="0" t="0"/>
            <wp:docPr id="2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3687600" cy="3017861"/>
                    </a:xfrm>
                    <a:prstGeom prst="rect"/>
                    <a:ln/>
                  </pic:spPr>
                </pic:pic>
              </a:graphicData>
            </a:graphic>
          </wp:inline>
        </w:drawing>
      </w:r>
      <w:r w:rsidDel="00000000" w:rsidR="00000000" w:rsidRPr="00000000">
        <w:rPr>
          <w:rFonts w:ascii="Calibri" w:cs="Calibri" w:eastAsia="Calibri" w:hAnsi="Calibri"/>
          <w:sz w:val="24"/>
          <w:szCs w:val="24"/>
          <w:rtl w:val="0"/>
        </w:rPr>
        <w:br w:type="textWrapping"/>
      </w:r>
      <w:r w:rsidDel="00000000" w:rsidR="00000000" w:rsidRPr="00000000">
        <w:rPr>
          <w:rtl w:val="0"/>
        </w:rPr>
      </w:r>
    </w:p>
    <w:p w:rsidR="00000000" w:rsidDel="00000000" w:rsidP="00000000" w:rsidRDefault="00000000" w:rsidRPr="00000000" w14:paraId="00000007">
      <w:pPr>
        <w:spacing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numPr>
          <w:ilvl w:val="0"/>
          <w:numId w:val="1"/>
        </w:numPr>
        <w:spacing w:line="259" w:lineRule="auto"/>
        <w:ind w:left="425.19685039370086"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En esta versión del juego, ¿quién tiene mayores posibilidades de ganar: Alicia, el Sombrerero o ambos tienen la misma posibilidad? Identifica los casos favorables a cada uno y responde.</w:t>
      </w:r>
    </w:p>
    <w:p w:rsidR="00000000" w:rsidDel="00000000" w:rsidP="00000000" w:rsidRDefault="00000000" w:rsidRPr="00000000" w14:paraId="00000009">
      <w:pPr>
        <w:spacing w:line="259" w:lineRule="auto"/>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spacing w:line="259" w:lineRule="auto"/>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spacing w:line="259" w:lineRule="auto"/>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numPr>
          <w:ilvl w:val="0"/>
          <w:numId w:val="1"/>
        </w:numPr>
        <w:spacing w:line="259" w:lineRule="auto"/>
        <w:ind w:left="425.19685039370086"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¿Cuántas cartas de cada color debería contener el sombrero para que el juego sea justo, es decir, que ambos tengan la misma posibilidad de ganar? Explora y responde.</w:t>
        <w:br w:type="textWrapping"/>
      </w:r>
      <w:r w:rsidDel="00000000" w:rsidR="00000000" w:rsidRPr="00000000">
        <w:br w:type="page"/>
      </w:r>
      <w:r w:rsidDel="00000000" w:rsidR="00000000" w:rsidRPr="00000000">
        <w:rPr>
          <w:rtl w:val="0"/>
        </w:rPr>
      </w:r>
    </w:p>
    <w:p w:rsidR="00000000" w:rsidDel="00000000" w:rsidP="00000000" w:rsidRDefault="00000000" w:rsidRPr="00000000" w14:paraId="0000000D">
      <w:pPr>
        <w:spacing w:line="259" w:lineRule="auto"/>
        <w:ind w:left="0" w:firstLine="0"/>
        <w:jc w:val="both"/>
        <w:rPr>
          <w:rFonts w:ascii="Calibri" w:cs="Calibri" w:eastAsia="Calibri" w:hAnsi="Calibri"/>
          <w:b w:val="1"/>
          <w:color w:val="433b72"/>
          <w:sz w:val="36"/>
          <w:szCs w:val="36"/>
        </w:rPr>
      </w:pPr>
      <w:r w:rsidDel="00000000" w:rsidR="00000000" w:rsidRPr="00000000">
        <w:rPr>
          <w:rFonts w:ascii="Calibri" w:cs="Calibri" w:eastAsia="Calibri" w:hAnsi="Calibri"/>
          <w:b w:val="1"/>
          <w:color w:val="433b72"/>
          <w:sz w:val="36"/>
          <w:szCs w:val="36"/>
          <w:rtl w:val="0"/>
        </w:rPr>
        <w:t xml:space="preserve">Solucionario</w:t>
      </w:r>
      <w:r w:rsidDel="00000000" w:rsidR="00000000" w:rsidRPr="00000000">
        <w:rPr>
          <w:rtl w:val="0"/>
        </w:rPr>
      </w:r>
    </w:p>
    <w:p w:rsidR="00000000" w:rsidDel="00000000" w:rsidP="00000000" w:rsidRDefault="00000000" w:rsidRPr="00000000" w14:paraId="0000000E">
      <w:pPr>
        <w:widowControl w:val="0"/>
        <w:spacing w:line="240" w:lineRule="auto"/>
        <w:jc w:val="both"/>
        <w:rPr>
          <w:rFonts w:ascii="Calibri" w:cs="Calibri" w:eastAsia="Calibri" w:hAnsi="Calibri"/>
        </w:rPr>
      </w:pPr>
      <w:r w:rsidDel="00000000" w:rsidR="00000000" w:rsidRPr="00000000">
        <w:rPr>
          <w:rFonts w:ascii="Calibri" w:cs="Calibri" w:eastAsia="Calibri" w:hAnsi="Calibri"/>
          <w:b w:val="1"/>
          <w:sz w:val="24"/>
          <w:szCs w:val="24"/>
          <w:rtl w:val="0"/>
        </w:rPr>
        <w:br w:type="textWrapping"/>
        <w:t xml:space="preserve">Actividad 1</w:t>
      </w:r>
      <w:r w:rsidDel="00000000" w:rsidR="00000000" w:rsidRPr="00000000">
        <w:rPr>
          <w:rtl w:val="0"/>
        </w:rPr>
      </w:r>
    </w:p>
    <w:p w:rsidR="00000000" w:rsidDel="00000000" w:rsidP="00000000" w:rsidRDefault="00000000" w:rsidRPr="00000000" w14:paraId="0000000F">
      <w:pPr>
        <w:widowControl w:val="0"/>
        <w:spacing w:line="240" w:lineRule="auto"/>
        <w:jc w:val="both"/>
        <w:rPr>
          <w:rFonts w:ascii="Calibri" w:cs="Calibri" w:eastAsia="Calibri" w:hAnsi="Calibri"/>
        </w:rPr>
      </w:pPr>
      <w:r w:rsidDel="00000000" w:rsidR="00000000" w:rsidRPr="00000000">
        <w:rPr>
          <w:rtl w:val="0"/>
        </w:rPr>
      </w:r>
    </w:p>
    <w:tbl>
      <w:tblPr>
        <w:tblStyle w:val="Table1"/>
        <w:tblW w:w="8925.0" w:type="dxa"/>
        <w:jc w:val="left"/>
        <w:tblInd w:w="-15.0" w:type="dxa"/>
        <w:tblBorders>
          <w:top w:color="60b698" w:space="0" w:sz="8" w:val="single"/>
          <w:left w:color="60b698" w:space="0" w:sz="8" w:val="single"/>
          <w:bottom w:color="60b698" w:space="0" w:sz="8" w:val="single"/>
          <w:right w:color="60b698" w:space="0" w:sz="8" w:val="single"/>
          <w:insideH w:color="60b698" w:space="0" w:sz="8" w:val="single"/>
          <w:insideV w:color="60b698" w:space="0" w:sz="8" w:val="single"/>
        </w:tblBorders>
        <w:tblLayout w:type="fixed"/>
        <w:tblLook w:val="0600"/>
      </w:tblPr>
      <w:tblGrid>
        <w:gridCol w:w="1470"/>
        <w:gridCol w:w="7455"/>
        <w:tblGridChange w:id="0">
          <w:tblGrid>
            <w:gridCol w:w="1470"/>
            <w:gridCol w:w="7455"/>
          </w:tblGrid>
        </w:tblGridChange>
      </w:tblGrid>
      <w:tr>
        <w:trPr>
          <w:cantSplit w:val="0"/>
          <w:trHeight w:val="612" w:hRule="atLeast"/>
          <w:tblHeader w:val="0"/>
        </w:trPr>
        <w:tc>
          <w:tcPr>
            <w:tcBorders>
              <w:left w:color="ffffff" w:space="0" w:sz="8" w:val="single"/>
              <w:right w:color="ffffff" w:space="0" w:sz="8" w:val="single"/>
            </w:tcBorders>
          </w:tcPr>
          <w:p w:rsidR="00000000" w:rsidDel="00000000" w:rsidP="00000000" w:rsidRDefault="00000000" w:rsidRPr="00000000" w14:paraId="00000010">
            <w:pPr>
              <w:widowControl w:val="0"/>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 </w:t>
            </w:r>
          </w:p>
        </w:tc>
        <w:tc>
          <w:tcPr>
            <w:tcBorders>
              <w:left w:color="ffffff" w:space="0" w:sz="8" w:val="single"/>
              <w:right w:color="ffffff" w:space="0" w:sz="8" w:val="single"/>
            </w:tcBorders>
          </w:tcPr>
          <w:p w:rsidR="00000000" w:rsidDel="00000000" w:rsidP="00000000" w:rsidRDefault="00000000" w:rsidRPr="00000000" w14:paraId="00000011">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facilitar la identificación de los casos se puede doblar una carta roja y una carta azul, para que las 4 cartas sean distintas entre sí. Es decir, en el sombrero habrá una carta roja, una carta roja doblada, una carta azul y una carta azul doblada.</w:t>
              <w:br w:type="textWrapping"/>
              <w:br w:type="textWrapping"/>
              <w:t xml:space="preserve">Los casos en los que gana el Sombrerero son:</w:t>
              <w:br w:type="textWrapping"/>
              <w:br w:type="textWrapping"/>
              <w:t xml:space="preserve">- Carta roja y carta azul.</w:t>
            </w:r>
          </w:p>
          <w:p w:rsidR="00000000" w:rsidDel="00000000" w:rsidP="00000000" w:rsidRDefault="00000000" w:rsidRPr="00000000" w14:paraId="00000012">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Carta roja doblada y carta azul.</w:t>
            </w:r>
          </w:p>
          <w:p w:rsidR="00000000" w:rsidDel="00000000" w:rsidP="00000000" w:rsidRDefault="00000000" w:rsidRPr="00000000" w14:paraId="00000013">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Carta roja y carta azul doblada.</w:t>
            </w:r>
          </w:p>
          <w:p w:rsidR="00000000" w:rsidDel="00000000" w:rsidP="00000000" w:rsidRDefault="00000000" w:rsidRPr="00000000" w14:paraId="00000014">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Carta roja doblada y carta azul doblada.</w:t>
            </w:r>
          </w:p>
          <w:p w:rsidR="00000000" w:rsidDel="00000000" w:rsidP="00000000" w:rsidRDefault="00000000" w:rsidRPr="00000000" w14:paraId="00000015">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casos en los que gana el Alicia son:</w:t>
              <w:br w:type="textWrapping"/>
              <w:br w:type="textWrapping"/>
              <w:t xml:space="preserve">- Carta roja y carta roja doblada.</w:t>
            </w:r>
          </w:p>
          <w:p w:rsidR="00000000" w:rsidDel="00000000" w:rsidP="00000000" w:rsidRDefault="00000000" w:rsidRPr="00000000" w14:paraId="00000017">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Carta azul y carta azul doblada.</w:t>
            </w:r>
          </w:p>
          <w:p w:rsidR="00000000" w:rsidDel="00000000" w:rsidP="00000000" w:rsidRDefault="00000000" w:rsidRPr="00000000" w14:paraId="00000018">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 decir, hay 4 casos en los que gana el Sombrerero y 2 en los que gana Alicia, por lo que existe el doble de probabilidad de que el Sombrerero gane en este juego.</w:t>
              <w:br w:type="textWrapping"/>
            </w:r>
          </w:p>
        </w:tc>
      </w:tr>
    </w:tbl>
    <w:p w:rsidR="00000000" w:rsidDel="00000000" w:rsidP="00000000" w:rsidRDefault="00000000" w:rsidRPr="00000000" w14:paraId="0000001A">
      <w:pPr>
        <w:widowControl w:val="0"/>
        <w:spacing w:line="240" w:lineRule="auto"/>
        <w:jc w:val="both"/>
        <w:rPr>
          <w:rFonts w:ascii="Calibri" w:cs="Calibri" w:eastAsia="Calibri" w:hAnsi="Calibri"/>
        </w:rPr>
      </w:pPr>
      <w:r w:rsidDel="00000000" w:rsidR="00000000" w:rsidRPr="00000000">
        <w:rPr>
          <w:rtl w:val="0"/>
        </w:rPr>
      </w:r>
    </w:p>
    <w:tbl>
      <w:tblPr>
        <w:tblStyle w:val="Table2"/>
        <w:tblW w:w="8925.0" w:type="dxa"/>
        <w:jc w:val="left"/>
        <w:tblInd w:w="-15.0" w:type="dxa"/>
        <w:tblBorders>
          <w:top w:color="60b698" w:space="0" w:sz="8" w:val="single"/>
          <w:left w:color="60b698" w:space="0" w:sz="8" w:val="single"/>
          <w:bottom w:color="60b698" w:space="0" w:sz="8" w:val="single"/>
          <w:right w:color="60b698" w:space="0" w:sz="8" w:val="single"/>
          <w:insideH w:color="60b698" w:space="0" w:sz="8" w:val="single"/>
          <w:insideV w:color="60b698" w:space="0" w:sz="8" w:val="single"/>
        </w:tblBorders>
        <w:tblLayout w:type="fixed"/>
        <w:tblLook w:val="0600"/>
      </w:tblPr>
      <w:tblGrid>
        <w:gridCol w:w="1530"/>
        <w:gridCol w:w="7395"/>
        <w:tblGridChange w:id="0">
          <w:tblGrid>
            <w:gridCol w:w="1530"/>
            <w:gridCol w:w="7395"/>
          </w:tblGrid>
        </w:tblGridChange>
      </w:tblGrid>
      <w:tr>
        <w:trPr>
          <w:cantSplit w:val="0"/>
          <w:trHeight w:val="612" w:hRule="atLeast"/>
          <w:tblHeader w:val="0"/>
        </w:trPr>
        <w:tc>
          <w:tcPr>
            <w:tcBorders>
              <w:left w:color="ffffff" w:space="0" w:sz="8" w:val="single"/>
              <w:right w:color="ffffff" w:space="0" w:sz="8" w:val="single"/>
            </w:tcBorders>
          </w:tcPr>
          <w:p w:rsidR="00000000" w:rsidDel="00000000" w:rsidP="00000000" w:rsidRDefault="00000000" w:rsidRPr="00000000" w14:paraId="0000001B">
            <w:pPr>
              <w:widowControl w:val="0"/>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w:t>
            </w:r>
          </w:p>
        </w:tc>
        <w:tc>
          <w:tcPr>
            <w:tcBorders>
              <w:left w:color="ffffff" w:space="0" w:sz="8" w:val="single"/>
              <w:right w:color="ffffff" w:space="0" w:sz="8" w:val="single"/>
            </w:tcBorders>
          </w:tcPr>
          <w:p w:rsidR="00000000" w:rsidDel="00000000" w:rsidP="00000000" w:rsidRDefault="00000000" w:rsidRPr="00000000" w14:paraId="0000001C">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Una posible solución para esta pregunta es considerar que hay 3 cartas de un color y 1 carta de un color distinto, por ejemplo, 3 cartas rojas y una azul. Para facilitar la identificación de los casos se puede doblar dos esquinas de una carta roja, doblar una esquina de otra carta roja y dejar sin doblar las cartas restantes, para que las 4 cartas sean distintas entre sí.</w:t>
              <w:br w:type="textWrapping"/>
              <w:br w:type="textWrapping"/>
              <w:t xml:space="preserve">Los casos en los que gana el Sombrerero son:</w:t>
              <w:br w:type="textWrapping"/>
              <w:br w:type="textWrapping"/>
              <w:t xml:space="preserve">- Carta roja y carta azul.</w:t>
            </w:r>
          </w:p>
          <w:p w:rsidR="00000000" w:rsidDel="00000000" w:rsidP="00000000" w:rsidRDefault="00000000" w:rsidRPr="00000000" w14:paraId="0000001D">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Carta roja doblada en una esquina  y carta azul.</w:t>
            </w:r>
          </w:p>
          <w:p w:rsidR="00000000" w:rsidDel="00000000" w:rsidP="00000000" w:rsidRDefault="00000000" w:rsidRPr="00000000" w14:paraId="0000001E">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Carta roja doblada en dos esquinas  y carta azul.</w:t>
              <w:br w:type="textWrapping"/>
              <w:br w:type="textWrapping"/>
              <w:t xml:space="preserve">Los casos en los que gana el Alicia son:</w:t>
              <w:br w:type="textWrapping"/>
              <w:br w:type="textWrapping"/>
              <w:t xml:space="preserve">- Carta roja  y carta roja doblada en una esquina.</w:t>
            </w:r>
          </w:p>
          <w:p w:rsidR="00000000" w:rsidDel="00000000" w:rsidP="00000000" w:rsidRDefault="00000000" w:rsidRPr="00000000" w14:paraId="0000001F">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Carta roja y carta roja doblada en dos esquinas.</w:t>
              <w:br w:type="textWrapping"/>
              <w:t xml:space="preserve">- Carta roja doblada en una esquina  y carta roja doblada en dos esquinas.</w:t>
              <w:br w:type="textWrapping"/>
              <w:br w:type="textWrapping"/>
              <w:t xml:space="preserve">Hay 3 casos en los que gana el Sombrerero y 3 en los que gana Alicia, por lo que tienen la misma probabilidad de ganar en este juego.</w:t>
            </w:r>
          </w:p>
          <w:p w:rsidR="00000000" w:rsidDel="00000000" w:rsidP="00000000" w:rsidRDefault="00000000" w:rsidRPr="00000000" w14:paraId="00000020">
            <w:pPr>
              <w:jc w:val="both"/>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21">
      <w:pPr>
        <w:widowControl w:val="0"/>
        <w:spacing w:after="160" w:line="240" w:lineRule="auto"/>
        <w:jc w:val="both"/>
        <w:rPr>
          <w:rFonts w:ascii="Calibri" w:cs="Calibri" w:eastAsia="Calibri" w:hAnsi="Calibri"/>
          <w:b w:val="1"/>
          <w:color w:val="433b72"/>
          <w:sz w:val="28"/>
          <w:szCs w:val="28"/>
        </w:rPr>
      </w:pPr>
      <w:r w:rsidDel="00000000" w:rsidR="00000000" w:rsidRPr="00000000">
        <w:rPr>
          <w:rtl w:val="0"/>
        </w:rPr>
      </w:r>
    </w:p>
    <w:sectPr>
      <w:headerReference r:id="rId8" w:type="default"/>
      <w:footerReference r:id="rId9" w:type="default"/>
      <w:pgSz w:h="16834" w:w="11909" w:orient="portrait"/>
      <w:pgMar w:bottom="1440" w:top="1440" w:left="1440" w:right="1440" w:header="0" w:footer="1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ind w:left="-1440" w:right="-1434" w:firstLine="0"/>
      <w:rPr/>
    </w:pPr>
    <w:r w:rsidDel="00000000" w:rsidR="00000000" w:rsidRPr="00000000">
      <w:rPr/>
      <w:drawing>
        <wp:inline distB="114300" distT="114300" distL="114300" distR="114300">
          <wp:extent cx="8129588" cy="190500"/>
          <wp:effectExtent b="0" l="0" r="0" t="0"/>
          <wp:docPr id="20"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8129588" cy="1905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ind w:left="-1440" w:hanging="30"/>
      <w:rPr/>
    </w:pPr>
    <w:r w:rsidDel="00000000" w:rsidR="00000000" w:rsidRPr="00000000">
      <w:rPr/>
      <w:drawing>
        <wp:inline distB="114300" distT="114300" distL="114300" distR="114300">
          <wp:extent cx="7586663" cy="190500"/>
          <wp:effectExtent b="0" l="0" r="0" t="0"/>
          <wp:docPr id="1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86663" cy="190500"/>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ind w:left="-1417" w:right="-1310" w:hanging="21.999999999999886"/>
      <w:jc w:val="right"/>
      <w:rPr/>
    </w:pPr>
    <w:r w:rsidDel="00000000" w:rsidR="00000000" w:rsidRPr="00000000">
      <w:rPr/>
      <w:drawing>
        <wp:inline distB="114300" distT="114300" distL="114300" distR="114300">
          <wp:extent cx="843915" cy="654429"/>
          <wp:effectExtent b="0" l="0" r="0" t="0"/>
          <wp:docPr id="2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843915" cy="65442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Subttulo">
    <w:name w:val="Subtitle"/>
    <w:basedOn w:val="Normal"/>
    <w:next w:val="Normal"/>
    <w:uiPriority w:val="11"/>
    <w:qFormat w:val="1"/>
    <w:pPr>
      <w:keepNext w:val="1"/>
      <w:keepLines w:val="1"/>
      <w:spacing w:after="320"/>
    </w:pPr>
    <w:rPr>
      <w:color w:val="666666"/>
      <w:sz w:val="30"/>
      <w:szCs w:val="30"/>
    </w:rPr>
  </w:style>
  <w:style w:type="table" w:styleId="a" w:customStyle="1">
    <w:basedOn w:val="TableNormal1"/>
    <w:pPr>
      <w:spacing w:line="240" w:lineRule="auto"/>
    </w:pPr>
    <w:tblPr>
      <w:tblStyleRowBandSize w:val="1"/>
      <w:tblStyleColBandSize w:val="1"/>
      <w:tblCellMar>
        <w:top w:w="0.0" w:type="dxa"/>
        <w:left w:w="108.0" w:type="dxa"/>
        <w:bottom w:w="0.0" w:type="dxa"/>
        <w:right w:w="108.0" w:type="dxa"/>
      </w:tblCellMar>
    </w:tblPr>
  </w:style>
  <w:style w:type="table" w:styleId="a0" w:customStyle="1">
    <w:basedOn w:val="TableNormal1"/>
    <w:pPr>
      <w:spacing w:line="240" w:lineRule="auto"/>
    </w:pPr>
    <w:tblPr>
      <w:tblStyleRowBandSize w:val="1"/>
      <w:tblStyleColBandSize w:val="1"/>
      <w:tblCellMar>
        <w:top w:w="0.0" w:type="dxa"/>
        <w:left w:w="108.0" w:type="dxa"/>
        <w:bottom w:w="0.0" w:type="dxa"/>
        <w:right w:w="108.0" w:type="dxa"/>
      </w:tblCellMar>
    </w:tblPr>
  </w:style>
  <w:style w:type="table" w:styleId="a1" w:customStyle="1">
    <w:basedOn w:val="TableNormal1"/>
    <w:pPr>
      <w:spacing w:line="240" w:lineRule="auto"/>
    </w:pPr>
    <w:tblPr>
      <w:tblStyleRowBandSize w:val="1"/>
      <w:tblStyleColBandSize w:val="1"/>
      <w:tblCellMar>
        <w:top w:w="100.0" w:type="dxa"/>
        <w:left w:w="100.0" w:type="dxa"/>
        <w:bottom w:w="100.0" w:type="dxa"/>
        <w:right w:w="100.0" w:type="dxa"/>
      </w:tblCellMar>
    </w:tblPr>
  </w:style>
  <w:style w:type="table" w:styleId="a2" w:customStyle="1">
    <w:basedOn w:val="TableNormal1"/>
    <w:tblPr>
      <w:tblStyleRowBandSize w:val="1"/>
      <w:tblStyleColBandSize w:val="1"/>
      <w:tblCellMar>
        <w:top w:w="0.0" w:type="dxa"/>
        <w:left w:w="115.0" w:type="dxa"/>
        <w:bottom w:w="0.0" w:type="dxa"/>
        <w:right w:w="115.0" w:type="dxa"/>
      </w:tblCellMar>
    </w:tblPr>
  </w:style>
  <w:style w:type="table" w:styleId="a3" w:customStyle="1">
    <w:basedOn w:val="TableNormal1"/>
    <w:tblPr>
      <w:tblStyleRowBandSize w:val="1"/>
      <w:tblStyleColBandSize w:val="1"/>
      <w:tblCellMar>
        <w:top w:w="100.0" w:type="dxa"/>
        <w:left w:w="100.0" w:type="dxa"/>
        <w:bottom w:w="100.0" w:type="dxa"/>
        <w:right w:w="100.0" w:type="dxa"/>
      </w:tblCellMar>
    </w:tblPr>
  </w:style>
  <w:style w:type="table" w:styleId="a4" w:customStyle="1">
    <w:basedOn w:val="TableNormal1"/>
    <w:pPr>
      <w:spacing w:line="240" w:lineRule="auto"/>
    </w:pPr>
    <w:tblPr>
      <w:tblStyleRowBandSize w:val="1"/>
      <w:tblStyleColBandSize w:val="1"/>
      <w:tblCellMar>
        <w:top w:w="0.0" w:type="dxa"/>
        <w:left w:w="115.0" w:type="dxa"/>
        <w:bottom w:w="0.0" w:type="dxa"/>
        <w:right w:w="115.0" w:type="dxa"/>
      </w:tblCellMar>
    </w:tblPr>
  </w:style>
  <w:style w:type="table" w:styleId="a5" w:customStyle="1">
    <w:basedOn w:val="TableNormal1"/>
    <w:tblPr>
      <w:tblStyleRowBandSize w:val="1"/>
      <w:tblStyleColBandSize w:val="1"/>
      <w:tblCellMar>
        <w:top w:w="100.0" w:type="dxa"/>
        <w:left w:w="100.0" w:type="dxa"/>
        <w:bottom w:w="100.0" w:type="dxa"/>
        <w:right w:w="100.0" w:type="dxa"/>
      </w:tblCellMar>
    </w:tblPr>
  </w:style>
  <w:style w:type="table" w:styleId="a6" w:customStyle="1">
    <w:basedOn w:val="TableNormal1"/>
    <w:tblPr>
      <w:tblStyleRowBandSize w:val="1"/>
      <w:tblStyleColBandSize w:val="1"/>
      <w:tblCellMar>
        <w:top w:w="100.0" w:type="dxa"/>
        <w:left w:w="100.0" w:type="dxa"/>
        <w:bottom w:w="100.0" w:type="dxa"/>
        <w:right w:w="100.0" w:type="dxa"/>
      </w:tblCellMar>
    </w:tblPr>
  </w:style>
  <w:style w:type="table" w:styleId="a7" w:customStyle="1">
    <w:basedOn w:val="TableNormal1"/>
    <w:pPr>
      <w:spacing w:line="240" w:lineRule="auto"/>
    </w:pPr>
    <w:tblPr>
      <w:tblStyleRowBandSize w:val="1"/>
      <w:tblStyleColBandSize w:val="1"/>
      <w:tblCellMar>
        <w:top w:w="0.0" w:type="dxa"/>
        <w:left w:w="115.0" w:type="dxa"/>
        <w:bottom w:w="0.0" w:type="dxa"/>
        <w:right w:w="115.0" w:type="dxa"/>
      </w:tblCellMar>
    </w:tblPr>
  </w:style>
  <w:style w:type="table" w:styleId="a8" w:customStyle="1">
    <w:basedOn w:val="TableNormal1"/>
    <w:pPr>
      <w:spacing w:line="240" w:lineRule="auto"/>
    </w:pPr>
    <w:tblPr>
      <w:tblStyleRowBandSize w:val="1"/>
      <w:tblStyleColBandSize w:val="1"/>
      <w:tblCellMar>
        <w:top w:w="0.0" w:type="dxa"/>
        <w:left w:w="115.0" w:type="dxa"/>
        <w:bottom w:w="0.0" w:type="dxa"/>
        <w:right w:w="115.0" w:type="dxa"/>
      </w:tblCellMar>
    </w:tblPr>
  </w:style>
  <w:style w:type="table" w:styleId="a9" w:customStyle="1">
    <w:basedOn w:val="TableNormal1"/>
    <w:pPr>
      <w:spacing w:line="24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Wt0D4vt+Zip9ip6N+YtyJ3IcJA==">CgMxLjA4AHIhMVlGZG1GUTBibW8wN0c2Zm0xbFA2a3RMNjFFcE5sRlZq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2023-04-10T18:47:00Z</dcterms:created>
</cp:coreProperties>
</file>