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color w:val="351c75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6"/>
          <w:szCs w:val="36"/>
          <w:rtl w:val="0"/>
        </w:rPr>
        <w:t xml:space="preserve">Hoja de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0" w:line="240" w:lineRule="auto"/>
        <w:jc w:val="center"/>
        <w:rPr>
          <w:rFonts w:ascii="Calibri" w:cs="Calibri" w:eastAsia="Calibri" w:hAnsi="Calibri"/>
          <w:color w:val="351c75"/>
          <w:sz w:val="28"/>
          <w:szCs w:val="28"/>
        </w:rPr>
      </w:pPr>
      <w:bookmarkStart w:colFirst="0" w:colLast="0" w:name="_heading=h.4fjhwzuyjmae" w:id="0"/>
      <w:bookmarkEnd w:id="0"/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El juego del Sombrerero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color w:val="351c7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28"/>
          <w:szCs w:val="28"/>
          <w:rtl w:val="0"/>
        </w:rPr>
        <w:t xml:space="preserve">Actividad 1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line="240" w:lineRule="auto"/>
        <w:ind w:left="425.19685039370074" w:hanging="360.000000000000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Jueguen el juego del Sombrero y registren los resultados como se indica a continuación: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850.3937007874016" w:hanging="435.000000000000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Formen grupos de 2.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850.3937007874016" w:hanging="435.000000000000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Cada uno debe elegir el personaje que va a representar (Alicia o el Sombrerero).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850.3937007874016" w:hanging="435.000000000000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 mirar, deben sacar dos cartas de la bolsa que les entregó su profesor(a).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850.3937007874016" w:hanging="435.000000000000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las cartas son del mismo color, pinten 1 ficha en la columna de Alicia.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850.3937007874016" w:hanging="435.000000000000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las cartas son de distinto color, pinten 1 ficha en la columna del Sombrerero.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850.3937007874016" w:hanging="435.000000000000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Repitan lo anterior 10 veces.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22389</wp:posOffset>
            </wp:positionH>
            <wp:positionV relativeFrom="paragraph">
              <wp:posOffset>333375</wp:posOffset>
            </wp:positionV>
            <wp:extent cx="5690545" cy="2015582"/>
            <wp:effectExtent b="0" l="0" r="0" t="0"/>
            <wp:wrapSquare wrapText="bothSides" distB="114300" distT="114300" distL="114300" distR="114300"/>
            <wp:docPr id="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0545" cy="20155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Después de revisar los resultados del juego de todos los grupos, ¿se puede concluir si alguno de los personajes tiene más probabilidad de ganar que el otro ?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40" w:lineRule="auto"/>
        <w:jc w:val="both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40" w:lineRule="auto"/>
        <w:jc w:val="both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40" w:lineRule="auto"/>
        <w:jc w:val="both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40" w:lineRule="auto"/>
        <w:jc w:val="both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40" w:lineRule="auto"/>
        <w:jc w:val="both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40" w:lineRule="auto"/>
        <w:jc w:val="both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40" w:lineRule="auto"/>
        <w:jc w:val="both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40" w:lineRule="auto"/>
        <w:jc w:val="both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40" w:lineRule="auto"/>
        <w:jc w:val="both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28"/>
          <w:szCs w:val="28"/>
          <w:rtl w:val="0"/>
        </w:rPr>
        <w:t xml:space="preserve">Actividad 2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Considera las tres cartas del juego del Sombrerero. Para distinguir las cartas rojas, doblaremos la punta de una de ellas.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Nunito" w:cs="Nunito" w:eastAsia="Nunito" w:hAnsi="Nunito"/>
          <w:color w:val="5bae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center"/>
        <w:rPr>
          <w:rFonts w:ascii="Nunito" w:cs="Nunito" w:eastAsia="Nunito" w:hAnsi="Nunito"/>
          <w:color w:val="5bae38"/>
        </w:rPr>
      </w:pPr>
      <w:r w:rsidDel="00000000" w:rsidR="00000000" w:rsidRPr="00000000">
        <w:rPr>
          <w:rFonts w:ascii="Nunito" w:cs="Nunito" w:eastAsia="Nunito" w:hAnsi="Nunito"/>
          <w:color w:val="5bae38"/>
        </w:rPr>
        <mc:AlternateContent>
          <mc:Choice Requires="wpg">
            <w:drawing>
              <wp:inline distB="114300" distT="114300" distL="114300" distR="114300">
                <wp:extent cx="3586163" cy="1893915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586163" cy="1893915"/>
                          <a:chOff x="152400" y="152400"/>
                          <a:chExt cx="5132900" cy="27036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 b="0" l="0" r="53100" t="0"/>
                          <a:stretch/>
                        </pic:blipFill>
                        <pic:spPr>
                          <a:xfrm>
                            <a:off x="152400" y="152400"/>
                            <a:ext cx="3430899" cy="270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3" name="Shape 3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 b="0" l="76733" r="0" t="0"/>
                          <a:stretch/>
                        </pic:blipFill>
                        <pic:spPr>
                          <a:xfrm>
                            <a:off x="3583300" y="152400"/>
                            <a:ext cx="1701999" cy="270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586163" cy="1893915"/>
                <wp:effectExtent b="0" l="0" r="0" 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6163" cy="18939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                                        Roja 1                      Roja 2                      Azul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sacar dos cartas al azar de entre las tres cartas de arriba, ¿cuántos pares de cartas distintos se pueden obtener? Muestra todos los casos posibles.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¿En cuántos de esos casos gana el Sombrerero? ¿En cuántos de esos casos gana Alicia?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puedes concluir de lo anterior respecto a las probabilidades de ganar de Alicia y el Sombrerero?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2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6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uwWxBQ8vj98YgJXaJsDrC+J8Q==">CgMxLjAyDmguNGZqaHd6dXlqbWFlOAByITFkdmtyN3ZtY3lBd3RYRWR6Q2xTZzZUOF9oYjM3VDB1Wg==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