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Privacidad en aplicaciones móviles</w:t>
      </w: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color w:val="433b72"/>
          <w:sz w:val="24"/>
          <w:szCs w:val="24"/>
        </w:rPr>
      </w:pPr>
      <w:r w:rsidDel="00000000" w:rsidR="00000000" w:rsidRPr="00000000">
        <w:rPr>
          <w:rFonts w:ascii="Calibri" w:cs="Calibri" w:eastAsia="Calibri" w:hAnsi="Calibri"/>
          <w:color w:val="433b72"/>
          <w:sz w:val="28"/>
          <w:szCs w:val="28"/>
          <w:rtl w:val="0"/>
        </w:rPr>
        <w:t xml:space="preserve">Guía Práctica</w:t>
      </w:r>
      <w:r w:rsidDel="00000000" w:rsidR="00000000" w:rsidRPr="00000000">
        <w:rPr>
          <w:rtl w:val="0"/>
        </w:rPr>
      </w:r>
    </w:p>
    <w:p w:rsidR="00000000" w:rsidDel="00000000" w:rsidP="00000000" w:rsidRDefault="00000000" w:rsidRPr="00000000" w14:paraId="00000003">
      <w:pPr>
        <w:widowControl w:val="0"/>
        <w:spacing w:line="240" w:lineRule="auto"/>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Contexto</w:t>
      </w:r>
    </w:p>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Ahora que ya conocemos cómo medir la privacidad de posiciones, nos preguntamos qué estrategia podríamos utilizar para aumentar la privacidad, de tal forma que las aplicaciones puedan reconocer tus ubicaciones para recomendarte lugares, pero sin reconocer tus puntos de interés. </w:t>
      </w:r>
    </w:p>
    <w:p w:rsidR="00000000" w:rsidDel="00000000" w:rsidP="00000000" w:rsidRDefault="00000000" w:rsidRPr="00000000" w14:paraId="0000000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estrategia que usaremos para esto es: </w:t>
      </w:r>
      <w:r w:rsidDel="00000000" w:rsidR="00000000" w:rsidRPr="00000000">
        <w:rPr>
          <w:rFonts w:ascii="Calibri" w:cs="Calibri" w:eastAsia="Calibri" w:hAnsi="Calibri"/>
          <w:b w:val="1"/>
          <w:sz w:val="24"/>
          <w:szCs w:val="24"/>
          <w:rtl w:val="0"/>
        </w:rPr>
        <w:t xml:space="preserve">agregar ruido a las posiciones</w:t>
      </w:r>
      <w:r w:rsidDel="00000000" w:rsidR="00000000" w:rsidRPr="00000000">
        <w:rPr>
          <w:rFonts w:ascii="Calibri" w:cs="Calibri" w:eastAsia="Calibri" w:hAnsi="Calibri"/>
          <w:sz w:val="24"/>
          <w:szCs w:val="24"/>
          <w:rtl w:val="0"/>
        </w:rPr>
        <w:t xml:space="preserve">. Esto podemos entenderlo como perturbar “levemente” las posiciones de un usuario, y podemos hacerlo por ejemplo sumando o restando una cantidad aleatoria pequeña a cada coordenada.</w:t>
      </w:r>
    </w:p>
    <w:p w:rsidR="00000000" w:rsidDel="00000000" w:rsidP="00000000" w:rsidRDefault="00000000" w:rsidRPr="00000000" w14:paraId="0000000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ejemplo si consideramos la posición </w:t>
      </w:r>
      <m:oMath>
        <m:r>
          <w:rPr>
            <w:rFonts w:ascii="Calibri" w:cs="Calibri" w:eastAsia="Calibri" w:hAnsi="Calibri"/>
            <w:sz w:val="24"/>
            <w:szCs w:val="24"/>
          </w:rPr>
          <m:t xml:space="preserve">(x,y)=(50,90)</m:t>
        </m:r>
      </m:oMath>
      <w:r w:rsidDel="00000000" w:rsidR="00000000" w:rsidRPr="00000000">
        <w:rPr>
          <w:rFonts w:ascii="Calibri" w:cs="Calibri" w:eastAsia="Calibri" w:hAnsi="Calibri"/>
          <w:sz w:val="24"/>
          <w:szCs w:val="24"/>
          <w:rtl w:val="0"/>
        </w:rPr>
        <w:t xml:space="preserve"> de un usuario y le aplicamos un ruido leve de </w:t>
      </w:r>
      <m:oMath>
        <m:r>
          <w:rPr>
            <w:rFonts w:ascii="Calibri" w:cs="Calibri" w:eastAsia="Calibri" w:hAnsi="Calibri"/>
            <w:sz w:val="24"/>
            <w:szCs w:val="24"/>
          </w:rPr>
          <m:t xml:space="preserve">2</m:t>
        </m:r>
      </m:oMath>
      <w:r w:rsidDel="00000000" w:rsidR="00000000" w:rsidRPr="00000000">
        <w:rPr>
          <w:rFonts w:ascii="Calibri" w:cs="Calibri" w:eastAsia="Calibri" w:hAnsi="Calibri"/>
          <w:sz w:val="24"/>
          <w:szCs w:val="24"/>
          <w:rtl w:val="0"/>
        </w:rPr>
        <w:t xml:space="preserve"> metros a cada coordenada, obtenemos una posición con ruido </w:t>
      </w:r>
      <m:oMath>
        <m:r>
          <w:rPr>
            <w:rFonts w:ascii="Calibri" w:cs="Calibri" w:eastAsia="Calibri" w:hAnsi="Calibri"/>
            <w:sz w:val="24"/>
            <w:szCs w:val="24"/>
          </w:rPr>
          <m:t xml:space="preserve">(</m:t>
        </m:r>
        <m:sSub>
          <m:sSubPr>
            <m:ctrlPr>
              <w:rPr>
                <w:rFonts w:ascii="Calibri" w:cs="Calibri" w:eastAsia="Calibri" w:hAnsi="Calibri"/>
                <w:sz w:val="24"/>
                <w:szCs w:val="24"/>
              </w:rPr>
            </m:ctrlPr>
          </m:sSubPr>
          <m:e>
            <m:r>
              <w:rPr>
                <w:rFonts w:ascii="Calibri" w:cs="Calibri" w:eastAsia="Calibri" w:hAnsi="Calibri"/>
                <w:sz w:val="24"/>
                <w:szCs w:val="24"/>
              </w:rPr>
              <m:t xml:space="preserve">x</m:t>
            </m:r>
          </m:e>
          <m:sub>
            <m:r>
              <w:rPr>
                <w:rFonts w:ascii="Calibri" w:cs="Calibri" w:eastAsia="Calibri" w:hAnsi="Calibri"/>
                <w:sz w:val="24"/>
                <w:szCs w:val="24"/>
              </w:rPr>
              <m:t xml:space="preserve">r</m:t>
            </m:r>
          </m:sub>
        </m:sSub>
        <m:r>
          <w:rPr>
            <w:rFonts w:ascii="Calibri" w:cs="Calibri" w:eastAsia="Calibri" w:hAnsi="Calibri"/>
            <w:sz w:val="24"/>
            <w:szCs w:val="24"/>
          </w:rPr>
          <m:t xml:space="preserve">,</m:t>
        </m:r>
        <m:sSub>
          <m:sSubPr>
            <m:ctrlPr>
              <w:rPr>
                <w:rFonts w:ascii="Calibri" w:cs="Calibri" w:eastAsia="Calibri" w:hAnsi="Calibri"/>
                <w:sz w:val="24"/>
                <w:szCs w:val="24"/>
              </w:rPr>
            </m:ctrlPr>
          </m:sSubPr>
          <m:e>
            <m:r>
              <w:rPr>
                <w:rFonts w:ascii="Calibri" w:cs="Calibri" w:eastAsia="Calibri" w:hAnsi="Calibri"/>
                <w:sz w:val="24"/>
                <w:szCs w:val="24"/>
              </w:rPr>
              <m:t xml:space="preserve">y</m:t>
            </m:r>
          </m:e>
          <m:sub>
            <m:r>
              <w:rPr>
                <w:rFonts w:ascii="Calibri" w:cs="Calibri" w:eastAsia="Calibri" w:hAnsi="Calibri"/>
                <w:sz w:val="24"/>
                <w:szCs w:val="24"/>
              </w:rPr>
              <m:t xml:space="preserve">r</m:t>
            </m:r>
          </m:sub>
        </m:sSub>
        <m:r>
          <w:rPr>
            <w:rFonts w:ascii="Calibri" w:cs="Calibri" w:eastAsia="Calibri" w:hAnsi="Calibri"/>
            <w:sz w:val="24"/>
            <w:szCs w:val="24"/>
          </w:rPr>
          <m:t xml:space="preserve">)=(52, 88)</m:t>
        </m:r>
      </m:oMath>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estrategia busca un equilibrio entre entregar a una aplicación una ubicación “lo suficientemente precisa” para indicarte una ruta para ir a algún lugar, y al mismo tiempo “lo suficientemente alterada” para que no reconozca tus puntos de interés. </w:t>
      </w:r>
    </w:p>
    <w:p w:rsidR="00000000" w:rsidDel="00000000" w:rsidP="00000000" w:rsidRDefault="00000000" w:rsidRPr="00000000" w14:paraId="0000000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Consideremos ahora a modo de ejemplo, un conjunto de 4 posiciones de una usuaria y apliquemos a cada posición esta estrategia. A continuación se muestran estos dos gráficos, uno con las posiciones Sin Ruido, y otra con las posiciones Con ruido. </w:t>
      </w:r>
    </w:p>
    <w:p w:rsidR="00000000" w:rsidDel="00000000" w:rsidP="00000000" w:rsidRDefault="00000000" w:rsidRPr="00000000" w14:paraId="0000000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widowControl w:val="0"/>
        <w:spacing w:line="240" w:lineRule="auto"/>
        <w:jc w:val="center"/>
        <w:rPr>
          <w:rFonts w:ascii="Calibri" w:cs="Calibri" w:eastAsia="Calibri" w:hAnsi="Calibri"/>
          <w:sz w:val="24"/>
          <w:szCs w:val="24"/>
        </w:rPr>
      </w:pPr>
      <w:r w:rsidDel="00000000" w:rsidR="00000000" w:rsidRPr="00000000">
        <w:rPr>
          <w:color w:val="9900ff"/>
          <w:sz w:val="20"/>
          <w:szCs w:val="20"/>
        </w:rPr>
        <w:drawing>
          <wp:inline distB="114300" distT="114300" distL="114300" distR="114300">
            <wp:extent cx="2700000" cy="1431000"/>
            <wp:effectExtent b="0" l="0" r="0" t="0"/>
            <wp:docPr descr="Gráfico" id="11" name="image2.png"/>
            <a:graphic>
              <a:graphicData uri="http://schemas.openxmlformats.org/drawingml/2006/picture">
                <pic:pic>
                  <pic:nvPicPr>
                    <pic:cNvPr descr="Gráfico" id="0" name="image2.png"/>
                    <pic:cNvPicPr preferRelativeResize="0"/>
                  </pic:nvPicPr>
                  <pic:blipFill>
                    <a:blip r:embed="rId7"/>
                    <a:srcRect b="0" l="0" r="0" t="14026"/>
                    <a:stretch>
                      <a:fillRect/>
                    </a:stretch>
                  </pic:blipFill>
                  <pic:spPr>
                    <a:xfrm>
                      <a:off x="0" y="0"/>
                      <a:ext cx="2700000" cy="1431000"/>
                    </a:xfrm>
                    <a:prstGeom prst="rect"/>
                    <a:ln/>
                  </pic:spPr>
                </pic:pic>
              </a:graphicData>
            </a:graphic>
          </wp:inline>
        </w:drawing>
      </w:r>
      <w:r w:rsidDel="00000000" w:rsidR="00000000" w:rsidRPr="00000000">
        <w:rPr>
          <w:color w:val="9900ff"/>
          <w:sz w:val="20"/>
          <w:szCs w:val="20"/>
        </w:rPr>
        <w:drawing>
          <wp:inline distB="114300" distT="114300" distL="114300" distR="114300">
            <wp:extent cx="2700000" cy="1438714"/>
            <wp:effectExtent b="0" l="0" r="0" t="0"/>
            <wp:docPr descr="Gráfico" id="13" name="image1.png"/>
            <a:graphic>
              <a:graphicData uri="http://schemas.openxmlformats.org/drawingml/2006/picture">
                <pic:pic>
                  <pic:nvPicPr>
                    <pic:cNvPr descr="Gráfico" id="0" name="image1.png"/>
                    <pic:cNvPicPr preferRelativeResize="0"/>
                  </pic:nvPicPr>
                  <pic:blipFill>
                    <a:blip r:embed="rId8"/>
                    <a:srcRect b="0" l="0" r="0" t="13353"/>
                    <a:stretch>
                      <a:fillRect/>
                    </a:stretch>
                  </pic:blipFill>
                  <pic:spPr>
                    <a:xfrm>
                      <a:off x="0" y="0"/>
                      <a:ext cx="2700000" cy="1438714"/>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Posiciones sin ruido</w:t>
        <w:tab/>
      </w:r>
      <w:r w:rsidDel="00000000" w:rsidR="00000000" w:rsidRPr="00000000">
        <w:rPr>
          <w:rFonts w:ascii="Calibri" w:cs="Calibri" w:eastAsia="Calibri" w:hAnsi="Calibri"/>
          <w:sz w:val="24"/>
          <w:szCs w:val="24"/>
          <w:rtl w:val="0"/>
        </w:rPr>
        <w:tab/>
        <w:t xml:space="preserve">                 </w:t>
      </w:r>
      <w:r w:rsidDel="00000000" w:rsidR="00000000" w:rsidRPr="00000000">
        <w:rPr>
          <w:rFonts w:ascii="Calibri" w:cs="Calibri" w:eastAsia="Calibri" w:hAnsi="Calibri"/>
          <w:b w:val="1"/>
          <w:sz w:val="24"/>
          <w:szCs w:val="24"/>
          <w:rtl w:val="0"/>
        </w:rPr>
        <w:t xml:space="preserve">  Posiciones con ruido</w:t>
      </w:r>
    </w:p>
    <w:p w:rsidR="00000000" w:rsidDel="00000000" w:rsidP="00000000" w:rsidRDefault="00000000" w:rsidRPr="00000000" w14:paraId="00000011">
      <w:pPr>
        <w:widowControl w:val="0"/>
        <w:spacing w:line="240" w:lineRule="auto"/>
        <w:rPr>
          <w:rFonts w:ascii="Nunito" w:cs="Nunito" w:eastAsia="Nunito" w:hAnsi="Nunito"/>
          <w:color w:val="9900ff"/>
        </w:rPr>
      </w:pPr>
      <w:r w:rsidDel="00000000" w:rsidR="00000000" w:rsidRPr="00000000">
        <w:rPr>
          <w:rtl w:val="0"/>
        </w:rPr>
      </w:r>
    </w:p>
    <w:p w:rsidR="00000000" w:rsidDel="00000000" w:rsidP="00000000" w:rsidRDefault="00000000" w:rsidRPr="00000000" w14:paraId="0000001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posible notar que las posiciones son relativamente similares, solo que en el segundo gráfico alteramos levemente las posiciones originales. Las varianzas de las posiciones de estos dos casos son las siguientes.</w:t>
      </w:r>
    </w:p>
    <w:p w:rsidR="00000000" w:rsidDel="00000000" w:rsidP="00000000" w:rsidRDefault="00000000" w:rsidRPr="00000000" w14:paraId="00000013">
      <w:pPr>
        <w:spacing w:line="240" w:lineRule="auto"/>
        <w:rPr>
          <w:rFonts w:ascii="Nunito" w:cs="Nunito" w:eastAsia="Nunito" w:hAnsi="Nunito"/>
          <w:color w:val="9900ff"/>
        </w:rPr>
      </w:pPr>
      <w:r w:rsidDel="00000000" w:rsidR="00000000" w:rsidRPr="00000000">
        <w:rPr>
          <w:rtl w:val="0"/>
        </w:rPr>
      </w:r>
    </w:p>
    <w:tbl>
      <w:tblPr>
        <w:tblStyle w:val="Table1"/>
        <w:tblW w:w="4920.0" w:type="dxa"/>
        <w:jc w:val="left"/>
        <w:tblInd w:w="1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680"/>
        <w:gridCol w:w="1545"/>
        <w:tblGridChange w:id="0">
          <w:tblGrid>
            <w:gridCol w:w="1695"/>
            <w:gridCol w:w="1680"/>
            <w:gridCol w:w="1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highlight w:val="yellow"/>
              </w:rPr>
            </w:pPr>
            <w:r w:rsidDel="00000000" w:rsidR="00000000" w:rsidRPr="00000000">
              <w:rPr>
                <w:rtl w:val="0"/>
              </w:rPr>
            </w:r>
          </w:p>
        </w:tc>
        <w:tc>
          <w:tcPr>
            <w:tcBorders>
              <w:top w:color="c0e2d7" w:space="0" w:sz="8" w:val="single"/>
              <w:left w:color="ffffff" w:space="0" w:sz="8" w:val="single"/>
              <w:bottom w:color="c0e2d7" w:space="0" w:sz="8" w:val="single"/>
              <w:right w:color="c0e2d7" w:space="0" w:sz="8" w:val="single"/>
            </w:tcBorders>
            <w:shd w:fill="60b698"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Sin ruido</w:t>
            </w:r>
          </w:p>
        </w:tc>
        <w:tc>
          <w:tcPr>
            <w:tcBorders>
              <w:top w:color="c0e2d7" w:space="0" w:sz="8" w:val="single"/>
              <w:left w:color="c0e2d7" w:space="0" w:sz="8" w:val="single"/>
              <w:bottom w:color="c0e2d7" w:space="0" w:sz="8" w:val="single"/>
              <w:right w:color="c0e2d7" w:space="0" w:sz="8" w:val="single"/>
            </w:tcBorders>
            <w:shd w:fill="60b698"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 ruido</w:t>
            </w:r>
          </w:p>
        </w:tc>
      </w:tr>
      <w:tr>
        <w:trPr>
          <w:cantSplit w:val="0"/>
          <w:tblHeader w:val="0"/>
        </w:trPr>
        <w:tc>
          <w:tcPr>
            <w:tcBorders>
              <w:top w:color="ffffff" w:space="0" w:sz="8" w:val="single"/>
              <w:left w:color="c0e2d7" w:space="0" w:sz="8" w:val="single"/>
              <w:bottom w:color="c0e2d7" w:space="0" w:sz="8" w:val="single"/>
              <w:right w:color="c0e2d7" w:space="0" w:sz="8" w:val="single"/>
            </w:tcBorders>
            <w:shd w:fill="60b698"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Varianza X</w:t>
            </w:r>
          </w:p>
        </w:tc>
        <w:tc>
          <w:tcPr>
            <w:tcBorders>
              <w:top w:color="c0e2d7" w:space="0" w:sz="8" w:val="single"/>
              <w:left w:color="c0e2d7" w:space="0" w:sz="8" w:val="single"/>
              <w:bottom w:color="c0e2d7" w:space="0" w:sz="8" w:val="single"/>
              <w:right w:color="c0e2d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c>
          <w:tcPr>
            <w:tcBorders>
              <w:top w:color="c0e2d7" w:space="0" w:sz="8" w:val="single"/>
              <w:left w:color="c0e2d7" w:space="0" w:sz="8" w:val="single"/>
              <w:bottom w:color="c0e2d7" w:space="0" w:sz="8" w:val="single"/>
              <w:right w:color="c0e2d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cantSplit w:val="0"/>
          <w:trHeight w:val="487.96875" w:hRule="atLeast"/>
          <w:tblHeader w:val="0"/>
        </w:trPr>
        <w:tc>
          <w:tcPr>
            <w:tcBorders>
              <w:top w:color="c0e2d7" w:space="0" w:sz="8" w:val="single"/>
              <w:left w:color="c0e2d7" w:space="0" w:sz="8" w:val="single"/>
              <w:bottom w:color="c0e2d7" w:space="0" w:sz="8" w:val="single"/>
              <w:right w:color="c0e2d7" w:space="0" w:sz="8" w:val="single"/>
            </w:tcBorders>
            <w:shd w:fill="60b698"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Varianza Y</w:t>
            </w:r>
          </w:p>
        </w:tc>
        <w:tc>
          <w:tcPr>
            <w:tcBorders>
              <w:top w:color="c0e2d7" w:space="0" w:sz="8" w:val="single"/>
              <w:left w:color="c0e2d7" w:space="0" w:sz="8" w:val="single"/>
              <w:bottom w:color="c0e2d7" w:space="0" w:sz="8" w:val="single"/>
              <w:right w:color="c0e2d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59,7</w:t>
            </w:r>
          </w:p>
        </w:tc>
        <w:tc>
          <w:tcPr>
            <w:tcBorders>
              <w:top w:color="c0e2d7" w:space="0" w:sz="8" w:val="single"/>
              <w:left w:color="c0e2d7" w:space="0" w:sz="8" w:val="single"/>
              <w:bottom w:color="c0e2d7" w:space="0" w:sz="8" w:val="single"/>
              <w:right w:color="c0e2d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99,7</w:t>
            </w:r>
          </w:p>
        </w:tc>
      </w:tr>
    </w:tbl>
    <w:p w:rsidR="00000000" w:rsidDel="00000000" w:rsidP="00000000" w:rsidRDefault="00000000" w:rsidRPr="00000000" w14:paraId="0000001D">
      <w:pPr>
        <w:widowControl w:val="0"/>
        <w:spacing w:line="240" w:lineRule="auto"/>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b w:val="1"/>
          <w:color w:val="433b72"/>
          <w:sz w:val="24"/>
          <w:szCs w:val="24"/>
        </w:rPr>
      </w:pPr>
      <w:r w:rsidDel="00000000" w:rsidR="00000000" w:rsidRPr="00000000">
        <w:rPr>
          <w:rFonts w:ascii="Calibri" w:cs="Calibri" w:eastAsia="Calibri" w:hAnsi="Calibri"/>
          <w:b w:val="1"/>
          <w:color w:val="433b72"/>
          <w:sz w:val="24"/>
          <w:szCs w:val="24"/>
          <w:rtl w:val="0"/>
        </w:rPr>
        <w:t xml:space="preserve">Actividad 1</w:t>
      </w:r>
    </w:p>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Según el contexto dado anteriormente, responde las siguientes preguntas:</w:t>
      </w:r>
    </w:p>
    <w:p w:rsidR="00000000" w:rsidDel="00000000" w:rsidP="00000000" w:rsidRDefault="00000000" w:rsidRPr="00000000" w14:paraId="0000002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¿Cuáles son los niveles o “valores” de privacidad en cada caso?</w:t>
      </w:r>
      <w:r w:rsidDel="00000000" w:rsidR="00000000" w:rsidRPr="00000000">
        <w:rPr>
          <w:rtl w:val="0"/>
        </w:rPr>
      </w:r>
    </w:p>
    <w:p w:rsidR="00000000" w:rsidDel="00000000" w:rsidP="00000000" w:rsidRDefault="00000000" w:rsidRPr="00000000" w14:paraId="00000023">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 comparar ambos valores ¿En qué caso se tiene mayor privacidad? </w:t>
      </w:r>
      <w:r w:rsidDel="00000000" w:rsidR="00000000" w:rsidRPr="00000000">
        <w:rPr>
          <w:rtl w:val="0"/>
        </w:rPr>
      </w:r>
    </w:p>
    <w:p w:rsidR="00000000" w:rsidDel="00000000" w:rsidP="00000000" w:rsidRDefault="00000000" w:rsidRPr="00000000" w14:paraId="00000025">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Recordando el criterio de varianza visto en la clase, cuyo límite para reconocer puntos de interés es de </w:t>
      </w:r>
      <m:oMath>
        <m:sSup>
          <m:sSupPr>
            <m:ctrlPr>
              <w:rPr>
                <w:rFonts w:ascii="Calibri" w:cs="Calibri" w:eastAsia="Calibri" w:hAnsi="Calibri"/>
                <w:sz w:val="24"/>
                <w:szCs w:val="24"/>
              </w:rPr>
            </m:ctrlPr>
          </m:sSupPr>
          <m:e>
            <m:r>
              <w:rPr>
                <w:rFonts w:ascii="Calibri" w:cs="Calibri" w:eastAsia="Calibri" w:hAnsi="Calibri"/>
                <w:sz w:val="24"/>
                <w:szCs w:val="24"/>
              </w:rPr>
              <m:t xml:space="preserve">10</m:t>
            </m:r>
          </m:e>
          <m:sup>
            <m:r>
              <w:rPr>
                <w:rFonts w:ascii="Calibri" w:cs="Calibri" w:eastAsia="Calibri" w:hAnsi="Calibri"/>
                <w:sz w:val="24"/>
                <w:szCs w:val="24"/>
              </w:rPr>
              <m:t xml:space="preserve">2</m:t>
            </m:r>
          </m:sup>
        </m:sSup>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¿Es posible reconocer puntos de interés en cada caso?, ¿en cuáles? </w:t>
      </w:r>
      <w:r w:rsidDel="00000000" w:rsidR="00000000" w:rsidRPr="00000000">
        <w:rPr>
          <w:rtl w:val="0"/>
        </w:rPr>
      </w:r>
    </w:p>
    <w:p w:rsidR="00000000" w:rsidDel="00000000" w:rsidP="00000000" w:rsidRDefault="00000000" w:rsidRPr="00000000" w14:paraId="00000027">
      <w:pPr>
        <w:widowControl w:val="0"/>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Considerando que las posiciones sin ruido y con ruido son similares, ¿mejora la privacidad con ruido permitiendo el correcto funcionamiento de aplicaciones que usan la información de la posición de sus usuarias?</w:t>
      </w: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76" w:lineRule="auto"/>
        <w:jc w:val="center"/>
        <w:rPr>
          <w:rFonts w:ascii="Calibri" w:cs="Calibri" w:eastAsia="Calibri" w:hAnsi="Calibri"/>
          <w:b w:val="1"/>
          <w:color w:val="433b72"/>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line="276"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Solucionario</w:t>
      </w:r>
    </w:p>
    <w:p w:rsidR="00000000" w:rsidDel="00000000" w:rsidP="00000000" w:rsidRDefault="00000000" w:rsidRPr="00000000" w14:paraId="00000045">
      <w:pPr>
        <w:spacing w:line="276" w:lineRule="auto"/>
        <w:jc w:val="center"/>
        <w:rPr>
          <w:rFonts w:ascii="Calibri" w:cs="Calibri" w:eastAsia="Calibri" w:hAnsi="Calibri"/>
          <w:i w:val="1"/>
          <w:color w:val="433b72"/>
          <w:sz w:val="24"/>
          <w:szCs w:val="24"/>
        </w:rPr>
      </w:pP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tl w:val="0"/>
        </w:rPr>
      </w:r>
    </w:p>
    <w:tbl>
      <w:tblPr>
        <w:tblStyle w:val="Table2"/>
        <w:tblW w:w="8910.0" w:type="dxa"/>
        <w:jc w:val="left"/>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065"/>
        <w:gridCol w:w="570"/>
        <w:gridCol w:w="7275"/>
        <w:tblGridChange w:id="0">
          <w:tblGrid>
            <w:gridCol w:w="1065"/>
            <w:gridCol w:w="570"/>
            <w:gridCol w:w="7275"/>
          </w:tblGrid>
        </w:tblGridChange>
      </w:tblGrid>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47">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1</w:t>
            </w:r>
          </w:p>
        </w:tc>
        <w:tc>
          <w:tcPr>
            <w:tcBorders>
              <w:left w:color="ffffff" w:space="0" w:sz="8" w:val="single"/>
              <w:right w:color="ffffff" w:space="0" w:sz="8" w:val="single"/>
            </w:tcBorders>
          </w:tcPr>
          <w:p w:rsidR="00000000" w:rsidDel="00000000" w:rsidP="00000000" w:rsidRDefault="00000000" w:rsidRPr="00000000" w14:paraId="00000048">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4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Sabemos que el nivel de privacidad viene dado por la suma de las varianzas del eje X y el eje Y. </w:t>
            </w:r>
          </w:p>
          <w:p w:rsidR="00000000" w:rsidDel="00000000" w:rsidP="00000000" w:rsidRDefault="00000000" w:rsidRPr="00000000" w14:paraId="0000004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lo tanto, tenemos los siguientes niveles de privacidad:</w:t>
            </w:r>
          </w:p>
          <w:p w:rsidR="00000000" w:rsidDel="00000000" w:rsidP="00000000" w:rsidRDefault="00000000" w:rsidRPr="00000000" w14:paraId="0000004B">
            <w:pPr>
              <w:spacing w:line="240" w:lineRule="auto"/>
              <w:jc w:val="both"/>
              <w:rPr>
                <w:rFonts w:ascii="Calibri" w:cs="Calibri" w:eastAsia="Calibri" w:hAnsi="Calibri"/>
                <w:sz w:val="24"/>
                <w:szCs w:val="24"/>
              </w:rPr>
            </w:pPr>
            <m:oMath>
              <m:r>
                <w:rPr>
                  <w:rFonts w:ascii="Calibri" w:cs="Calibri" w:eastAsia="Calibri" w:hAnsi="Calibri"/>
                  <w:sz w:val="24"/>
                  <w:szCs w:val="24"/>
                </w:rPr>
                <m:t xml:space="preserve">P=Va</m:t>
              </m:r>
              <m:sSub>
                <m:sSubPr>
                  <m:ctrlPr>
                    <w:rPr>
                      <w:rFonts w:ascii="Calibri" w:cs="Calibri" w:eastAsia="Calibri" w:hAnsi="Calibri"/>
                      <w:sz w:val="24"/>
                      <w:szCs w:val="24"/>
                    </w:rPr>
                  </m:ctrlPr>
                </m:sSubPr>
                <m:e>
                  <m:r>
                    <w:rPr>
                      <w:rFonts w:ascii="Calibri" w:cs="Calibri" w:eastAsia="Calibri" w:hAnsi="Calibri"/>
                      <w:sz w:val="24"/>
                      <w:szCs w:val="24"/>
                    </w:rPr>
                    <m:t xml:space="preserve">r</m:t>
                  </m:r>
                </m:e>
                <m:sub>
                  <m:r>
                    <w:rPr>
                      <w:rFonts w:ascii="Calibri" w:cs="Calibri" w:eastAsia="Calibri" w:hAnsi="Calibri"/>
                      <w:sz w:val="24"/>
                      <w:szCs w:val="24"/>
                    </w:rPr>
                    <m:t xml:space="preserve">X</m:t>
                  </m:r>
                </m:sub>
              </m:sSub>
              <m:r>
                <w:rPr>
                  <w:rFonts w:ascii="Calibri" w:cs="Calibri" w:eastAsia="Calibri" w:hAnsi="Calibri"/>
                  <w:sz w:val="24"/>
                  <w:szCs w:val="24"/>
                </w:rPr>
                <m:t xml:space="preserve">+Va</m:t>
              </m:r>
              <m:sSub>
                <m:sSubPr>
                  <m:ctrlPr>
                    <w:rPr>
                      <w:rFonts w:ascii="Calibri" w:cs="Calibri" w:eastAsia="Calibri" w:hAnsi="Calibri"/>
                      <w:sz w:val="24"/>
                      <w:szCs w:val="24"/>
                    </w:rPr>
                  </m:ctrlPr>
                </m:sSubPr>
                <m:e>
                  <m:r>
                    <w:rPr>
                      <w:rFonts w:ascii="Calibri" w:cs="Calibri" w:eastAsia="Calibri" w:hAnsi="Calibri"/>
                      <w:sz w:val="24"/>
                      <w:szCs w:val="24"/>
                    </w:rPr>
                    <m:t xml:space="preserve">r</m:t>
                  </m:r>
                </m:e>
                <m:sub>
                  <m:r>
                    <w:rPr>
                      <w:rFonts w:ascii="Calibri" w:cs="Calibri" w:eastAsia="Calibri" w:hAnsi="Calibri"/>
                      <w:sz w:val="24"/>
                      <w:szCs w:val="24"/>
                    </w:rPr>
                    <m:t xml:space="preserve">Y</m:t>
                  </m:r>
                </m:sub>
              </m:sSub>
              <m:r>
                <w:rPr>
                  <w:rFonts w:ascii="Calibri" w:cs="Calibri" w:eastAsia="Calibri" w:hAnsi="Calibri"/>
                  <w:sz w:val="24"/>
                  <w:szCs w:val="24"/>
                </w:rPr>
                <m:t xml:space="preserve">=7,6+59,7=67,3</m:t>
              </m:r>
            </m:oMath>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4"/>
                <w:szCs w:val="24"/>
              </w:rPr>
            </w:pPr>
            <m:oMath>
              <m:sSub>
                <m:sSubPr>
                  <m:ctrlPr>
                    <w:rPr>
                      <w:rFonts w:ascii="Calibri" w:cs="Calibri" w:eastAsia="Calibri" w:hAnsi="Calibri"/>
                      <w:sz w:val="24"/>
                      <w:szCs w:val="24"/>
                    </w:rPr>
                  </m:ctrlPr>
                </m:sSubPr>
                <m:e>
                  <m:r>
                    <w:rPr>
                      <w:rFonts w:ascii="Calibri" w:cs="Calibri" w:eastAsia="Calibri" w:hAnsi="Calibri"/>
                      <w:sz w:val="24"/>
                      <w:szCs w:val="24"/>
                    </w:rPr>
                    <m:t xml:space="preserve">P</m:t>
                  </m:r>
                </m:e>
                <m:sub>
                  <m:r>
                    <w:rPr>
                      <w:rFonts w:ascii="Calibri" w:cs="Calibri" w:eastAsia="Calibri" w:hAnsi="Calibri"/>
                      <w:sz w:val="24"/>
                      <w:szCs w:val="24"/>
                    </w:rPr>
                    <m:t xml:space="preserve">r</m:t>
                  </m:r>
                </m:sub>
              </m:sSub>
              <m:r>
                <w:rPr>
                  <w:rFonts w:ascii="Calibri" w:cs="Calibri" w:eastAsia="Calibri" w:hAnsi="Calibri"/>
                  <w:sz w:val="24"/>
                  <w:szCs w:val="24"/>
                </w:rPr>
                <m:t xml:space="preserve">=Va</m:t>
              </m:r>
              <m:sSub>
                <m:sSubPr>
                  <m:ctrlPr>
                    <w:rPr>
                      <w:rFonts w:ascii="Calibri" w:cs="Calibri" w:eastAsia="Calibri" w:hAnsi="Calibri"/>
                      <w:sz w:val="24"/>
                      <w:szCs w:val="24"/>
                    </w:rPr>
                  </m:ctrlPr>
                </m:sSubPr>
                <m:e>
                  <m:r>
                    <w:rPr>
                      <w:rFonts w:ascii="Calibri" w:cs="Calibri" w:eastAsia="Calibri" w:hAnsi="Calibri"/>
                      <w:sz w:val="24"/>
                      <w:szCs w:val="24"/>
                    </w:rPr>
                    <m:t xml:space="preserve">r</m:t>
                  </m:r>
                </m:e>
                <m:sub>
                  <m:r>
                    <w:rPr>
                      <w:rFonts w:ascii="Calibri" w:cs="Calibri" w:eastAsia="Calibri" w:hAnsi="Calibri"/>
                      <w:sz w:val="24"/>
                      <w:szCs w:val="24"/>
                    </w:rPr>
                    <m:t xml:space="preserve">X</m:t>
                  </m:r>
                </m:sub>
              </m:sSub>
              <m:r>
                <w:rPr>
                  <w:rFonts w:ascii="Calibri" w:cs="Calibri" w:eastAsia="Calibri" w:hAnsi="Calibri"/>
                  <w:sz w:val="24"/>
                  <w:szCs w:val="24"/>
                </w:rPr>
                <m:t xml:space="preserve">+Va</m:t>
              </m:r>
              <m:sSub>
                <m:sSubPr>
                  <m:ctrlPr>
                    <w:rPr>
                      <w:rFonts w:ascii="Calibri" w:cs="Calibri" w:eastAsia="Calibri" w:hAnsi="Calibri"/>
                      <w:sz w:val="24"/>
                      <w:szCs w:val="24"/>
                    </w:rPr>
                  </m:ctrlPr>
                </m:sSubPr>
                <m:e>
                  <m:r>
                    <w:rPr>
                      <w:rFonts w:ascii="Calibri" w:cs="Calibri" w:eastAsia="Calibri" w:hAnsi="Calibri"/>
                      <w:sz w:val="24"/>
                      <w:szCs w:val="24"/>
                    </w:rPr>
                    <m:t xml:space="preserve">r</m:t>
                  </m:r>
                </m:e>
                <m:sub>
                  <m:r>
                    <w:rPr>
                      <w:rFonts w:ascii="Calibri" w:cs="Calibri" w:eastAsia="Calibri" w:hAnsi="Calibri"/>
                      <w:sz w:val="24"/>
                      <w:szCs w:val="24"/>
                    </w:rPr>
                    <m:t xml:space="preserve">Y</m:t>
                  </m:r>
                </m:sub>
              </m:sSub>
              <m:r>
                <w:rPr>
                  <w:rFonts w:ascii="Calibri" w:cs="Calibri" w:eastAsia="Calibri" w:hAnsi="Calibri"/>
                  <w:sz w:val="24"/>
                  <w:szCs w:val="24"/>
                </w:rPr>
                <m:t xml:space="preserve">=10+99,7=109,7</m:t>
              </m:r>
            </m:oMath>
            <w:r w:rsidDel="00000000" w:rsidR="00000000" w:rsidRPr="00000000">
              <w:rPr>
                <w:rtl w:val="0"/>
              </w:rPr>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4D">
            <w:pPr>
              <w:widowControl w:val="0"/>
              <w:spacing w:line="240" w:lineRule="auto"/>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4E">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4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comparamos los valores de los niveles de privacidad, claramente las posiciones con ruido tienen mayores niveles de privacidad, que las que no tienen ruido.</w:t>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50">
            <w:pPr>
              <w:widowControl w:val="0"/>
              <w:spacing w:line="240" w:lineRule="auto"/>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1">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52">
            <w:pPr>
              <w:spacing w:line="240" w:lineRule="auto"/>
              <w:ind w:left="0" w:firstLine="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Inspirandonos en los visto para el caso de la circunferencia de radio </w:t>
            </w:r>
            <m:oMath>
              <m:r>
                <w:rPr>
                  <w:rFonts w:ascii="Calibri" w:cs="Calibri" w:eastAsia="Calibri" w:hAnsi="Calibri"/>
                  <w:sz w:val="24"/>
                  <w:szCs w:val="24"/>
                </w:rPr>
                <m:t xml:space="preserve">10</m:t>
              </m:r>
            </m:oMath>
            <w:r w:rsidDel="00000000" w:rsidR="00000000" w:rsidRPr="00000000">
              <w:rPr>
                <w:rFonts w:ascii="Calibri" w:cs="Calibri" w:eastAsia="Calibri" w:hAnsi="Calibri"/>
                <w:sz w:val="24"/>
                <w:szCs w:val="24"/>
                <w:rtl w:val="0"/>
              </w:rPr>
              <w:t xml:space="preserve"> m, mientras se tengan varianzas menores a </w:t>
            </w:r>
            <m:oMath>
              <m:sSup>
                <m:sSupPr>
                  <m:ctrlPr>
                    <w:rPr>
                      <w:rFonts w:ascii="Calibri" w:cs="Calibri" w:eastAsia="Calibri" w:hAnsi="Calibri"/>
                      <w:sz w:val="24"/>
                      <w:szCs w:val="24"/>
                    </w:rPr>
                  </m:ctrlPr>
                </m:sSupPr>
                <m:e>
                  <m:r>
                    <w:rPr>
                      <w:rFonts w:ascii="Calibri" w:cs="Calibri" w:eastAsia="Calibri" w:hAnsi="Calibri"/>
                      <w:sz w:val="24"/>
                      <w:szCs w:val="24"/>
                    </w:rPr>
                    <m:t xml:space="preserve">10</m:t>
                  </m:r>
                </m:e>
                <m:sup>
                  <m:r>
                    <w:rPr>
                      <w:rFonts w:ascii="Calibri" w:cs="Calibri" w:eastAsia="Calibri" w:hAnsi="Calibri"/>
                      <w:sz w:val="24"/>
                      <w:szCs w:val="24"/>
                    </w:rPr>
                    <m:t xml:space="preserve">2</m:t>
                  </m:r>
                </m:sup>
              </m:sSup>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es suficiente para  reconocer puntos de interés similares a una casa.</w:t>
            </w:r>
            <w:r w:rsidDel="00000000" w:rsidR="00000000" w:rsidRPr="00000000">
              <w:rPr>
                <w:rtl w:val="0"/>
              </w:rPr>
            </w:r>
          </w:p>
          <w:p w:rsidR="00000000" w:rsidDel="00000000" w:rsidP="00000000" w:rsidRDefault="00000000" w:rsidRPr="00000000" w14:paraId="00000053">
            <w:pPr>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caso observamos que la varianza de la usuaria sin ruido es menor que </w:t>
            </w:r>
            <m:oMath>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por lo tanto se puede reconocer un punto de interés. Al agregarle ruido, su varianza pasa a ser mayor que </w:t>
            </w:r>
            <m:oMath>
              <m:r>
                <w:rPr>
                  <w:rFonts w:ascii="Calibri" w:cs="Calibri" w:eastAsia="Calibri" w:hAnsi="Calibri"/>
                  <w:sz w:val="24"/>
                  <w:szCs w:val="24"/>
                </w:rPr>
                <m:t xml:space="preserve">100</m:t>
              </m:r>
            </m:oMath>
            <w:r w:rsidDel="00000000" w:rsidR="00000000" w:rsidRPr="00000000">
              <w:rPr>
                <w:rFonts w:ascii="Calibri" w:cs="Calibri" w:eastAsia="Calibri" w:hAnsi="Calibri"/>
                <w:sz w:val="24"/>
                <w:szCs w:val="24"/>
                <w:rtl w:val="0"/>
              </w:rPr>
              <w:t xml:space="preserve">, por lo que no es posible reconocer un punto de interés. </w:t>
            </w:r>
          </w:p>
          <w:p w:rsidR="00000000" w:rsidDel="00000000" w:rsidP="00000000" w:rsidRDefault="00000000" w:rsidRPr="00000000" w14:paraId="00000054">
            <w:pPr>
              <w:spacing w:line="240" w:lineRule="auto"/>
              <w:ind w:left="0" w:firstLine="0"/>
              <w:jc w:val="both"/>
              <w:rPr>
                <w:rFonts w:ascii="Calibri" w:cs="Calibri" w:eastAsia="Calibri" w:hAnsi="Calibri"/>
                <w:sz w:val="24"/>
                <w:szCs w:val="24"/>
                <w:u w:val="none"/>
              </w:rPr>
            </w:pPr>
            <w:r w:rsidDel="00000000" w:rsidR="00000000" w:rsidRPr="00000000">
              <w:rPr>
                <w:rtl w:val="0"/>
              </w:rPr>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55">
            <w:pPr>
              <w:widowControl w:val="0"/>
              <w:spacing w:line="240" w:lineRule="auto"/>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6">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p>
        </w:tc>
        <w:tc>
          <w:tcPr>
            <w:tcBorders>
              <w:left w:color="ffffff" w:space="0" w:sz="8" w:val="single"/>
              <w:right w:color="ffffff" w:space="0" w:sz="8" w:val="single"/>
            </w:tcBorders>
          </w:tcPr>
          <w:p w:rsidR="00000000" w:rsidDel="00000000" w:rsidP="00000000" w:rsidRDefault="00000000" w:rsidRPr="00000000" w14:paraId="0000005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mejora la privacidad al agregarle ruido a las posiciones, pues notamos cómo aumenta la varianza en ambas coordenadas: lo suficiente para que no se reconozcan puntos de interés, y lo necesario para que aún pueda funcionar la aplicación.</w:t>
            </w:r>
          </w:p>
        </w:tc>
      </w:tr>
    </w:tbl>
    <w:p w:rsidR="00000000" w:rsidDel="00000000" w:rsidP="00000000" w:rsidRDefault="00000000" w:rsidRPr="00000000" w14:paraId="00000058">
      <w:pPr>
        <w:spacing w:line="276"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ind w:left="0" w:firstLine="0"/>
        <w:rPr>
          <w:rFonts w:ascii="Calibri" w:cs="Calibri" w:eastAsia="Calibri" w:hAnsi="Calibri"/>
          <w:b w:val="1"/>
          <w:sz w:val="26"/>
          <w:szCs w:val="26"/>
        </w:rPr>
      </w:pPr>
      <w:r w:rsidDel="00000000" w:rsidR="00000000" w:rsidRPr="00000000">
        <w:rPr>
          <w:rtl w:val="0"/>
        </w:rPr>
      </w:r>
    </w:p>
    <w:sectPr>
      <w:headerReference r:id="rId9" w:type="default"/>
      <w:footerReference r:id="rId10"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ind w:left="-1440" w:right="-1434" w:firstLine="0"/>
      <w:rPr/>
    </w:pPr>
    <w:r w:rsidDel="00000000" w:rsidR="00000000" w:rsidRPr="00000000">
      <w:rPr/>
      <w:drawing>
        <wp:inline distB="114300" distT="114300" distL="114300" distR="114300">
          <wp:extent cx="8129588" cy="190500"/>
          <wp:effectExtent b="0" l="0" r="0" t="0"/>
          <wp:docPr id="1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ind w:left="-1440" w:hanging="30"/>
      <w:rPr/>
    </w:pPr>
    <w:r w:rsidDel="00000000" w:rsidR="00000000" w:rsidRPr="00000000">
      <w:rPr/>
      <w:drawing>
        <wp:inline distB="114300" distT="114300" distL="114300" distR="114300">
          <wp:extent cx="7586663" cy="190500"/>
          <wp:effectExtent b="0" l="0" r="0" t="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1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dCImzUfPBZlPDlV0s5BnEkaPg==">CgMxLjA4AHIhMTJ4c25HUnUxWkhha1FRbUdQa0pWalV6c3V2WXdFZHVP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